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33A2CF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华文中宋" w:hAnsi="华文中宋" w:eastAsia="华文中宋" w:cstheme="minorBidi"/>
          <w:snapToGrid/>
          <w:kern w:val="2"/>
          <w:sz w:val="32"/>
          <w:szCs w:val="32"/>
          <w:lang w:eastAsia="zh-CN"/>
        </w:rPr>
      </w:pPr>
      <w:r>
        <w:rPr>
          <w:rFonts w:hint="eastAsia" w:ascii="华文中宋" w:hAnsi="华文中宋" w:eastAsia="华文中宋" w:cstheme="minorBidi"/>
          <w:snapToGrid/>
          <w:kern w:val="2"/>
          <w:sz w:val="32"/>
          <w:szCs w:val="32"/>
          <w:lang w:eastAsia="zh-CN"/>
        </w:rPr>
        <w:t>辽宁大学 202</w:t>
      </w:r>
      <w:r>
        <w:rPr>
          <w:rFonts w:hint="eastAsia" w:ascii="华文中宋" w:hAnsi="华文中宋" w:eastAsia="华文中宋" w:cstheme="minorBidi"/>
          <w:snapToGrid/>
          <w:kern w:val="2"/>
          <w:sz w:val="32"/>
          <w:szCs w:val="32"/>
          <w:lang w:val="en-US" w:eastAsia="zh-CN"/>
        </w:rPr>
        <w:t>5</w:t>
      </w:r>
      <w:r>
        <w:rPr>
          <w:rFonts w:hint="eastAsia" w:ascii="华文中宋" w:hAnsi="华文中宋" w:eastAsia="华文中宋" w:cstheme="minorBidi"/>
          <w:snapToGrid/>
          <w:kern w:val="2"/>
          <w:sz w:val="32"/>
          <w:szCs w:val="32"/>
          <w:lang w:eastAsia="zh-CN"/>
        </w:rPr>
        <w:t xml:space="preserve"> 年招收攻读博士学位研究生(普通招考方式) 初试科目考试大纲</w:t>
      </w:r>
    </w:p>
    <w:p w14:paraId="73856E88">
      <w:pPr>
        <w:pStyle w:val="2"/>
        <w:spacing w:before="91" w:line="219" w:lineRule="auto"/>
        <w:ind w:left="34"/>
        <w:rPr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科目代码：</w:t>
      </w:r>
      <w:r>
        <w:rPr>
          <w:spacing w:val="-3"/>
          <w:sz w:val="28"/>
          <w:szCs w:val="28"/>
        </w:rPr>
        <w:t>2003</w:t>
      </w:r>
      <w:bookmarkStart w:id="0" w:name="_GoBack"/>
      <w:bookmarkEnd w:id="0"/>
    </w:p>
    <w:p w14:paraId="738C6E6D">
      <w:pPr>
        <w:pStyle w:val="2"/>
        <w:spacing w:before="293" w:line="397" w:lineRule="auto"/>
        <w:ind w:left="34" w:right="3571"/>
        <w:rPr>
          <w:rFonts w:hint="eastAsia" w:ascii="仿宋" w:hAnsi="仿宋" w:eastAsia="仿宋" w:cs="仿宋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科目名称：</w:t>
      </w:r>
      <w:r>
        <w:rPr>
          <w:spacing w:val="-3"/>
          <w:sz w:val="28"/>
          <w:szCs w:val="28"/>
        </w:rPr>
        <w:t>经济学基础理论（管理类）</w:t>
      </w:r>
      <w:r>
        <w:rPr>
          <w:spacing w:val="3"/>
          <w:sz w:val="28"/>
          <w:szCs w:val="28"/>
        </w:rPr>
        <w:t xml:space="preserve"> </w:t>
      </w:r>
      <w:r>
        <w:rPr>
          <w:b/>
          <w:bCs/>
          <w:spacing w:val="-7"/>
          <w:sz w:val="28"/>
          <w:szCs w:val="28"/>
        </w:rPr>
        <w:t>满</w:t>
      </w:r>
      <w:r>
        <w:rPr>
          <w:spacing w:val="6"/>
          <w:sz w:val="28"/>
          <w:szCs w:val="28"/>
        </w:rPr>
        <w:t xml:space="preserve">    </w:t>
      </w:r>
      <w:r>
        <w:rPr>
          <w:b/>
          <w:bCs/>
          <w:spacing w:val="-7"/>
          <w:sz w:val="28"/>
          <w:szCs w:val="28"/>
        </w:rPr>
        <w:t>分：</w:t>
      </w:r>
      <w:r>
        <w:rPr>
          <w:spacing w:val="-7"/>
          <w:sz w:val="28"/>
          <w:szCs w:val="28"/>
        </w:rPr>
        <w:t>100</w:t>
      </w:r>
      <w:r>
        <w:rPr>
          <w:spacing w:val="-45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分</w:t>
      </w:r>
    </w:p>
    <w:p w14:paraId="0F7045F4">
      <w:pPr>
        <w:spacing w:before="78" w:line="220" w:lineRule="auto"/>
        <w:ind w:left="3451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1"/>
          <w:sz w:val="28"/>
          <w:szCs w:val="28"/>
        </w:rPr>
        <w:t>微观经济理论</w:t>
      </w:r>
    </w:p>
    <w:p w14:paraId="5217EEDA">
      <w:pPr>
        <w:spacing w:before="78" w:line="220" w:lineRule="auto"/>
        <w:ind w:left="21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1"/>
          <w:sz w:val="28"/>
          <w:szCs w:val="28"/>
        </w:rPr>
        <w:t>一、经济学的数学基础、经济学与经济模型</w:t>
      </w:r>
    </w:p>
    <w:p w14:paraId="1DF4E208">
      <w:pPr>
        <w:pStyle w:val="2"/>
        <w:spacing w:before="173" w:line="216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（一）凹函数、凹函数的判定、凹函数的性质</w:t>
      </w:r>
    </w:p>
    <w:p w14:paraId="1481E35F">
      <w:pPr>
        <w:pStyle w:val="2"/>
        <w:spacing w:before="31" w:line="216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（二）凸函数、凸函数的判定、凸函数的性质</w:t>
      </w:r>
    </w:p>
    <w:p w14:paraId="35698E9D">
      <w:pPr>
        <w:pStyle w:val="2"/>
        <w:spacing w:before="31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（三）优化方法及一阶条件与二阶条件、优化方法的应用</w:t>
      </w:r>
    </w:p>
    <w:p w14:paraId="6A1D047F">
      <w:pPr>
        <w:pStyle w:val="2"/>
        <w:spacing w:before="30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（四）包络定理及应用</w:t>
      </w:r>
    </w:p>
    <w:p w14:paraId="47A13AE2">
      <w:pPr>
        <w:pStyle w:val="2"/>
        <w:spacing w:before="29" w:line="219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（五）齐次函数及应用</w:t>
      </w:r>
    </w:p>
    <w:p w14:paraId="06482FC0">
      <w:pPr>
        <w:pStyle w:val="2"/>
        <w:spacing w:before="27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（六）经济学发展简史</w:t>
      </w:r>
    </w:p>
    <w:p w14:paraId="165A0ECA">
      <w:pPr>
        <w:pStyle w:val="2"/>
        <w:spacing w:before="31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（七）微观经济学的研究对象</w:t>
      </w:r>
    </w:p>
    <w:p w14:paraId="5C3BF189">
      <w:pPr>
        <w:pStyle w:val="2"/>
        <w:spacing w:before="29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（八）经济模型</w:t>
      </w:r>
    </w:p>
    <w:p w14:paraId="5B392DAF">
      <w:pPr>
        <w:spacing w:before="196" w:line="220" w:lineRule="auto"/>
        <w:ind w:left="2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2"/>
          <w:sz w:val="28"/>
          <w:szCs w:val="28"/>
        </w:rPr>
        <w:t>二、消费者理论</w:t>
      </w:r>
    </w:p>
    <w:p w14:paraId="11FA64E4">
      <w:pPr>
        <w:pStyle w:val="2"/>
        <w:spacing w:before="173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（一）基数效用理论与消费者均衡</w:t>
      </w:r>
    </w:p>
    <w:p w14:paraId="2BFC8A29">
      <w:pPr>
        <w:pStyle w:val="2"/>
        <w:spacing w:before="29" w:line="219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（二）偏好</w:t>
      </w:r>
    </w:p>
    <w:p w14:paraId="06F083C7">
      <w:pPr>
        <w:pStyle w:val="2"/>
        <w:spacing w:before="28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（三）序数效用理论与消费者均衡</w:t>
      </w:r>
    </w:p>
    <w:p w14:paraId="2E666A5B">
      <w:pPr>
        <w:pStyle w:val="2"/>
        <w:spacing w:before="30" w:line="219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（四）收入效应与替代效应</w:t>
      </w:r>
    </w:p>
    <w:p w14:paraId="0A67A74D">
      <w:pPr>
        <w:pStyle w:val="2"/>
        <w:spacing w:before="27" w:line="219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（五）间接效用函数</w:t>
      </w:r>
    </w:p>
    <w:p w14:paraId="31A13118">
      <w:pPr>
        <w:pStyle w:val="2"/>
        <w:spacing w:before="27" w:line="219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（六）支出函数</w:t>
      </w:r>
    </w:p>
    <w:p w14:paraId="21401C20">
      <w:pPr>
        <w:pStyle w:val="2"/>
        <w:spacing w:before="28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（七）马歇尔需求函数与希克斯需求函数</w:t>
      </w:r>
    </w:p>
    <w:p w14:paraId="7426A162">
      <w:pPr>
        <w:pStyle w:val="2"/>
        <w:spacing w:before="30" w:line="216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（八）需求弹性</w:t>
      </w:r>
    </w:p>
    <w:p w14:paraId="64BDABA3">
      <w:pPr>
        <w:pStyle w:val="2"/>
        <w:spacing w:before="32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（九）消费者剩余</w:t>
      </w:r>
    </w:p>
    <w:p w14:paraId="2FDBDF8A">
      <w:pPr>
        <w:pStyle w:val="2"/>
        <w:spacing w:before="29" w:line="216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5"/>
          <w:sz w:val="28"/>
          <w:szCs w:val="28"/>
        </w:rPr>
        <w:t>（十）</w:t>
      </w:r>
      <w:r>
        <w:rPr>
          <w:rFonts w:hint="eastAsia" w:ascii="仿宋" w:hAnsi="仿宋" w:eastAsia="仿宋" w:cs="仿宋"/>
          <w:spacing w:val="-6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5"/>
          <w:sz w:val="28"/>
          <w:szCs w:val="28"/>
        </w:rPr>
        <w:t>不确定条件下消费者的选择</w:t>
      </w:r>
    </w:p>
    <w:p w14:paraId="056A6D3A">
      <w:pPr>
        <w:spacing w:before="196" w:line="220" w:lineRule="auto"/>
        <w:ind w:left="2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2"/>
          <w:sz w:val="28"/>
          <w:szCs w:val="28"/>
        </w:rPr>
        <w:t>三、生产者理论</w:t>
      </w:r>
    </w:p>
    <w:p w14:paraId="1DBAE57B">
      <w:pPr>
        <w:pStyle w:val="2"/>
        <w:spacing w:before="173" w:line="219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（一）生产函数</w:t>
      </w:r>
    </w:p>
    <w:p w14:paraId="54404F8A">
      <w:pPr>
        <w:pStyle w:val="2"/>
        <w:spacing w:before="28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（二）短期的生产函数及相关理论</w:t>
      </w:r>
    </w:p>
    <w:p w14:paraId="6AAD530F">
      <w:pPr>
        <w:pStyle w:val="2"/>
        <w:spacing w:before="30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（三）长期的生产函数及相关理论</w:t>
      </w:r>
    </w:p>
    <w:p w14:paraId="594A6E2A">
      <w:pPr>
        <w:pStyle w:val="2"/>
        <w:spacing w:before="30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（四）成本函数</w:t>
      </w:r>
    </w:p>
    <w:p w14:paraId="14ACDBD9">
      <w:pPr>
        <w:pStyle w:val="2"/>
        <w:spacing w:before="48" w:line="217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（五）短期成本函数及相关理论</w:t>
      </w:r>
    </w:p>
    <w:p w14:paraId="058B2B3B">
      <w:pPr>
        <w:pStyle w:val="2"/>
        <w:spacing w:before="30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（六）长期成本函数及相关理论</w:t>
      </w:r>
    </w:p>
    <w:p w14:paraId="20A92ED7">
      <w:pPr>
        <w:pStyle w:val="2"/>
        <w:spacing w:before="28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（七）规模报酬与规模经济</w:t>
      </w:r>
    </w:p>
    <w:p w14:paraId="16FCC52B">
      <w:pPr>
        <w:spacing w:before="195" w:line="220" w:lineRule="auto"/>
        <w:ind w:left="42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3"/>
          <w:sz w:val="28"/>
          <w:szCs w:val="28"/>
        </w:rPr>
        <w:t>四、完全竞争市场的局部均衡</w:t>
      </w:r>
    </w:p>
    <w:p w14:paraId="67AA2F4A">
      <w:pPr>
        <w:pStyle w:val="2"/>
        <w:spacing w:before="173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（一）完全竞争与均衡</w:t>
      </w:r>
    </w:p>
    <w:p w14:paraId="37AD170C">
      <w:pPr>
        <w:pStyle w:val="2"/>
        <w:spacing w:before="29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（二）完全竞争厂商与行业的短期供给曲线</w:t>
      </w:r>
    </w:p>
    <w:p w14:paraId="1A2701FA">
      <w:pPr>
        <w:pStyle w:val="2"/>
        <w:spacing w:before="30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（三）完全竞争行业的长期供给曲线</w:t>
      </w:r>
    </w:p>
    <w:p w14:paraId="4A9AD997">
      <w:pPr>
        <w:pStyle w:val="2"/>
        <w:spacing w:before="30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（四）生产者剩余</w:t>
      </w:r>
    </w:p>
    <w:p w14:paraId="79E7F9E8">
      <w:pPr>
        <w:pStyle w:val="2"/>
        <w:spacing w:before="29" w:line="216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0"/>
          <w:sz w:val="28"/>
          <w:szCs w:val="28"/>
        </w:rPr>
        <w:t>（五）</w:t>
      </w:r>
      <w:r>
        <w:rPr>
          <w:rFonts w:hint="eastAsia" w:ascii="仿宋" w:hAnsi="仿宋" w:eastAsia="仿宋" w:cs="仿宋"/>
          <w:spacing w:val="-6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>供给弹性</w:t>
      </w:r>
    </w:p>
    <w:p w14:paraId="0FEFE55D">
      <w:pPr>
        <w:pStyle w:val="2"/>
        <w:spacing w:before="32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（六）完全竞争均衡与福利</w:t>
      </w:r>
    </w:p>
    <w:p w14:paraId="63C430A8">
      <w:pPr>
        <w:pStyle w:val="2"/>
        <w:spacing w:before="29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（七）政府价格管制与福利</w:t>
      </w:r>
    </w:p>
    <w:p w14:paraId="51E224E3">
      <w:pPr>
        <w:pStyle w:val="2"/>
        <w:spacing w:before="31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（八）政府税收与福利</w:t>
      </w:r>
    </w:p>
    <w:p w14:paraId="0F191992">
      <w:pPr>
        <w:pStyle w:val="2"/>
        <w:spacing w:before="28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8"/>
          <w:sz w:val="28"/>
          <w:szCs w:val="28"/>
        </w:rPr>
        <w:t>（九）</w:t>
      </w:r>
      <w:r>
        <w:rPr>
          <w:rFonts w:hint="eastAsia" w:ascii="仿宋" w:hAnsi="仿宋" w:eastAsia="仿宋" w:cs="仿宋"/>
          <w:spacing w:val="-5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8"/>
          <w:sz w:val="28"/>
          <w:szCs w:val="28"/>
        </w:rPr>
        <w:t>自由贸易与福利</w:t>
      </w:r>
    </w:p>
    <w:p w14:paraId="1FB7C857">
      <w:pPr>
        <w:pStyle w:val="2"/>
        <w:spacing w:before="28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（十）贸易保护与福利</w:t>
      </w:r>
    </w:p>
    <w:p w14:paraId="08480A0C">
      <w:pPr>
        <w:spacing w:before="195" w:line="220" w:lineRule="auto"/>
        <w:ind w:left="1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1"/>
          <w:sz w:val="28"/>
          <w:szCs w:val="28"/>
        </w:rPr>
        <w:t>五、不完全竞争市场的局部均衡</w:t>
      </w:r>
    </w:p>
    <w:p w14:paraId="7B0E8948">
      <w:pPr>
        <w:pStyle w:val="2"/>
        <w:spacing w:before="173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（一）垄断与均衡</w:t>
      </w:r>
    </w:p>
    <w:p w14:paraId="4D0A87EC">
      <w:pPr>
        <w:pStyle w:val="2"/>
        <w:spacing w:before="30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（二）垄断厂商的价格歧视</w:t>
      </w:r>
    </w:p>
    <w:p w14:paraId="73CF3961">
      <w:pPr>
        <w:pStyle w:val="2"/>
        <w:spacing w:before="30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（三）垄断均衡与福利</w:t>
      </w:r>
    </w:p>
    <w:p w14:paraId="2AB03A03">
      <w:pPr>
        <w:pStyle w:val="2"/>
        <w:spacing w:before="30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6"/>
          <w:sz w:val="28"/>
          <w:szCs w:val="28"/>
        </w:rPr>
        <w:t>（四）</w:t>
      </w:r>
      <w:r>
        <w:rPr>
          <w:rFonts w:hint="eastAsia" w:ascii="仿宋" w:hAnsi="仿宋" w:eastAsia="仿宋" w:cs="仿宋"/>
          <w:spacing w:val="-5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6"/>
          <w:sz w:val="28"/>
          <w:szCs w:val="28"/>
        </w:rPr>
        <w:t>自然垄断及对其公共管制</w:t>
      </w:r>
    </w:p>
    <w:p w14:paraId="5E859151">
      <w:pPr>
        <w:pStyle w:val="2"/>
        <w:spacing w:before="30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（五）垄断竞争与均衡</w:t>
      </w:r>
    </w:p>
    <w:p w14:paraId="6A9E7C45">
      <w:pPr>
        <w:pStyle w:val="2"/>
        <w:spacing w:before="30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（六）垄断竞争均衡与福利</w:t>
      </w:r>
    </w:p>
    <w:p w14:paraId="540B0936">
      <w:pPr>
        <w:pStyle w:val="2"/>
        <w:spacing w:before="30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（七）寡头与均衡</w:t>
      </w:r>
    </w:p>
    <w:p w14:paraId="07DD821D">
      <w:pPr>
        <w:pStyle w:val="2"/>
        <w:spacing w:before="30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（八）</w:t>
      </w:r>
      <w:r>
        <w:rPr>
          <w:rFonts w:hint="eastAsia" w:ascii="仿宋" w:hAnsi="仿宋" w:eastAsia="仿宋" w:cs="仿宋"/>
          <w:spacing w:val="-6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解释寡头行为的经济模型与福利</w:t>
      </w:r>
    </w:p>
    <w:p w14:paraId="61F6F96D">
      <w:pPr>
        <w:spacing w:before="195" w:line="220" w:lineRule="auto"/>
        <w:ind w:left="24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1"/>
          <w:sz w:val="28"/>
          <w:szCs w:val="28"/>
        </w:rPr>
        <w:t>六、生产要素市场的局部均衡</w:t>
      </w:r>
    </w:p>
    <w:p w14:paraId="4E5CB16D">
      <w:pPr>
        <w:pStyle w:val="2"/>
        <w:spacing w:before="173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（一）生产要素的需求</w:t>
      </w:r>
    </w:p>
    <w:p w14:paraId="301C1C1E">
      <w:pPr>
        <w:pStyle w:val="2"/>
        <w:spacing w:before="28" w:line="220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（二）生产要素的供给</w:t>
      </w:r>
    </w:p>
    <w:p w14:paraId="40658D3A">
      <w:pPr>
        <w:pStyle w:val="2"/>
        <w:spacing w:before="27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（三）生产要素市场的均衡</w:t>
      </w:r>
    </w:p>
    <w:p w14:paraId="24AB8BC9">
      <w:pPr>
        <w:pStyle w:val="2"/>
        <w:spacing w:before="30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（四）生产要素市场均衡的变动</w:t>
      </w:r>
    </w:p>
    <w:p w14:paraId="4A8D3ED6">
      <w:pPr>
        <w:spacing w:before="195" w:line="220" w:lineRule="auto"/>
        <w:ind w:left="23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1"/>
          <w:sz w:val="28"/>
          <w:szCs w:val="28"/>
        </w:rPr>
        <w:t>七、一般均衡和福利经济学</w:t>
      </w:r>
    </w:p>
    <w:p w14:paraId="4B558C17">
      <w:pPr>
        <w:pStyle w:val="2"/>
        <w:spacing w:before="173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（一）局部均衡与一般均衡</w:t>
      </w:r>
    </w:p>
    <w:p w14:paraId="0FD6E2F8">
      <w:pPr>
        <w:pStyle w:val="2"/>
        <w:spacing w:before="29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（二）经济效率</w:t>
      </w:r>
    </w:p>
    <w:p w14:paraId="29D8BA5A">
      <w:pPr>
        <w:pStyle w:val="2"/>
        <w:spacing w:before="31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（三）帕累托最优的条件</w:t>
      </w:r>
    </w:p>
    <w:p w14:paraId="2FE9D955">
      <w:pPr>
        <w:pStyle w:val="2"/>
        <w:spacing w:before="29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（四）完全竞争和帕累托最优</w:t>
      </w:r>
    </w:p>
    <w:p w14:paraId="217B8062">
      <w:pPr>
        <w:pStyle w:val="2"/>
        <w:spacing w:before="28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（五）非完全竞争和帕累托最优</w:t>
      </w:r>
    </w:p>
    <w:p w14:paraId="14354953">
      <w:pPr>
        <w:pStyle w:val="2"/>
        <w:spacing w:before="29" w:line="216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4"/>
          <w:sz w:val="28"/>
          <w:szCs w:val="28"/>
        </w:rPr>
        <w:t>（六）“看不见的手</w:t>
      </w:r>
      <w:r>
        <w:rPr>
          <w:rFonts w:hint="eastAsia" w:ascii="仿宋" w:hAnsi="仿宋" w:eastAsia="仿宋" w:cs="仿宋"/>
          <w:spacing w:val="-8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>”假说</w:t>
      </w:r>
    </w:p>
    <w:p w14:paraId="29683EF4">
      <w:pPr>
        <w:pStyle w:val="2"/>
        <w:spacing w:before="31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（七）社会福利函数</w:t>
      </w:r>
    </w:p>
    <w:p w14:paraId="05F59054">
      <w:pPr>
        <w:spacing w:before="193" w:line="220" w:lineRule="auto"/>
        <w:ind w:left="2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2"/>
          <w:sz w:val="28"/>
          <w:szCs w:val="28"/>
        </w:rPr>
        <w:t>八、市场失灵和微观经济政策</w:t>
      </w:r>
    </w:p>
    <w:p w14:paraId="51695377">
      <w:pPr>
        <w:pStyle w:val="2"/>
        <w:spacing w:before="174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（一）市场失灵</w:t>
      </w:r>
    </w:p>
    <w:p w14:paraId="5AA1A29D">
      <w:pPr>
        <w:pStyle w:val="2"/>
        <w:spacing w:before="28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（二）垄断与市场失灵及公共政策</w:t>
      </w:r>
    </w:p>
    <w:p w14:paraId="26EA5909">
      <w:pPr>
        <w:pStyle w:val="2"/>
        <w:spacing w:before="47" w:line="216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（三）外部性与市场失灵及公共政策</w:t>
      </w:r>
    </w:p>
    <w:p w14:paraId="33FDAF3C">
      <w:pPr>
        <w:pStyle w:val="2"/>
        <w:spacing w:before="31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（四）公共物品、公共资源与市场失灵及公共政策</w:t>
      </w:r>
    </w:p>
    <w:p w14:paraId="2F24B14E">
      <w:pPr>
        <w:pStyle w:val="2"/>
        <w:spacing w:before="29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（五）信息不对称与市场失灵及公共政策</w:t>
      </w:r>
    </w:p>
    <w:p w14:paraId="48FB9942">
      <w:pPr>
        <w:spacing w:before="195" w:line="219" w:lineRule="auto"/>
        <w:ind w:left="27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3"/>
          <w:sz w:val="28"/>
          <w:szCs w:val="28"/>
        </w:rPr>
        <w:t>九、博弈论</w:t>
      </w:r>
    </w:p>
    <w:p w14:paraId="5BF2EBE0">
      <w:pPr>
        <w:pStyle w:val="2"/>
        <w:spacing w:before="174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（一）博弈与策略行为</w:t>
      </w:r>
    </w:p>
    <w:p w14:paraId="1E77441C">
      <w:pPr>
        <w:pStyle w:val="2"/>
        <w:spacing w:before="31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（二）同时博弈与均衡</w:t>
      </w:r>
    </w:p>
    <w:p w14:paraId="36CB9670">
      <w:pPr>
        <w:pStyle w:val="2"/>
        <w:spacing w:before="29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（三）序贯博弈与均衡</w:t>
      </w:r>
    </w:p>
    <w:p w14:paraId="58BCBAF6">
      <w:pPr>
        <w:spacing w:before="196" w:line="220" w:lineRule="auto"/>
        <w:ind w:left="34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3"/>
          <w:sz w:val="28"/>
          <w:szCs w:val="28"/>
        </w:rPr>
        <w:t>宏观经济理论</w:t>
      </w:r>
    </w:p>
    <w:p w14:paraId="19AC46B3">
      <w:pPr>
        <w:spacing w:line="257" w:lineRule="auto"/>
        <w:rPr>
          <w:rFonts w:hint="eastAsia" w:ascii="仿宋" w:hAnsi="仿宋" w:eastAsia="仿宋" w:cs="仿宋"/>
          <w:sz w:val="28"/>
          <w:szCs w:val="28"/>
        </w:rPr>
      </w:pPr>
    </w:p>
    <w:p w14:paraId="5DA009D6">
      <w:pPr>
        <w:spacing w:before="78" w:line="220" w:lineRule="auto"/>
        <w:ind w:left="29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2"/>
          <w:sz w:val="28"/>
          <w:szCs w:val="28"/>
        </w:rPr>
        <w:t>十、国民收入核算理论</w:t>
      </w:r>
    </w:p>
    <w:p w14:paraId="3B6B8720">
      <w:pPr>
        <w:pStyle w:val="2"/>
        <w:spacing w:before="173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（一）宏观经济学发展简史与宏观经济学研究对象</w:t>
      </w:r>
    </w:p>
    <w:p w14:paraId="585F51F7">
      <w:pPr>
        <w:pStyle w:val="2"/>
        <w:spacing w:before="31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（二）国内生产总值及其核算方法</w:t>
      </w:r>
    </w:p>
    <w:p w14:paraId="4ED5F2AB">
      <w:pPr>
        <w:pStyle w:val="2"/>
        <w:spacing w:before="30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（三）国民收入的其他衡量指标</w:t>
      </w:r>
    </w:p>
    <w:p w14:paraId="5AC44AED">
      <w:pPr>
        <w:pStyle w:val="2"/>
        <w:spacing w:before="30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（四）国民收入的基本等式</w:t>
      </w:r>
    </w:p>
    <w:p w14:paraId="7AEAD614">
      <w:pPr>
        <w:pStyle w:val="2"/>
        <w:spacing w:before="28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（五）名义</w:t>
      </w:r>
      <w:r>
        <w:rPr>
          <w:rFonts w:hint="eastAsia"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GDP</w:t>
      </w:r>
      <w:r>
        <w:rPr>
          <w:rFonts w:hint="eastAsia" w:ascii="仿宋" w:hAnsi="仿宋" w:eastAsia="仿宋" w:cs="仿宋"/>
          <w:spacing w:val="-3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与实际</w:t>
      </w:r>
      <w:r>
        <w:rPr>
          <w:rFonts w:hint="eastAsia" w:ascii="仿宋" w:hAnsi="仿宋" w:eastAsia="仿宋" w:cs="仿宋"/>
          <w:spacing w:val="-5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GDP</w:t>
      </w:r>
    </w:p>
    <w:p w14:paraId="25235839">
      <w:pPr>
        <w:pStyle w:val="2"/>
        <w:spacing w:before="28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（六）失业和物价水平的衡量</w:t>
      </w:r>
    </w:p>
    <w:p w14:paraId="4C4AFA3E">
      <w:pPr>
        <w:spacing w:before="195" w:line="220" w:lineRule="auto"/>
        <w:ind w:left="29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1"/>
          <w:sz w:val="28"/>
          <w:szCs w:val="28"/>
        </w:rPr>
        <w:t>十一、长期中的国民收入决定理论</w:t>
      </w:r>
    </w:p>
    <w:p w14:paraId="385DA1E6">
      <w:pPr>
        <w:pStyle w:val="2"/>
        <w:spacing w:before="174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（一）长期中产品和服务的生产与决定</w:t>
      </w:r>
    </w:p>
    <w:p w14:paraId="00F372CB">
      <w:pPr>
        <w:pStyle w:val="2"/>
        <w:spacing w:before="28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（二）国民收入源自哪里、流向何处</w:t>
      </w:r>
    </w:p>
    <w:p w14:paraId="7F05E3B8">
      <w:pPr>
        <w:pStyle w:val="2"/>
        <w:spacing w:before="29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（三）长期中产品和服务的均衡</w:t>
      </w:r>
    </w:p>
    <w:p w14:paraId="36F54D5D">
      <w:pPr>
        <w:spacing w:before="195" w:line="219" w:lineRule="auto"/>
        <w:ind w:left="29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2"/>
          <w:sz w:val="28"/>
          <w:szCs w:val="28"/>
        </w:rPr>
        <w:t>十二、长期中的货币与通货膨胀</w:t>
      </w:r>
    </w:p>
    <w:p w14:paraId="452E8A7A">
      <w:pPr>
        <w:pStyle w:val="2"/>
        <w:spacing w:before="175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（一）货币数量论</w:t>
      </w:r>
    </w:p>
    <w:p w14:paraId="44C3E3A7">
      <w:pPr>
        <w:pStyle w:val="2"/>
        <w:spacing w:before="28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（二）货币铸造税</w:t>
      </w:r>
    </w:p>
    <w:p w14:paraId="33AD58CF">
      <w:pPr>
        <w:pStyle w:val="2"/>
        <w:spacing w:before="29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（三）通货膨胀与利率</w:t>
      </w:r>
    </w:p>
    <w:p w14:paraId="4AB14B69">
      <w:pPr>
        <w:pStyle w:val="2"/>
        <w:spacing w:before="28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（四）名义利率与货币需求</w:t>
      </w:r>
    </w:p>
    <w:p w14:paraId="4D740FE1">
      <w:pPr>
        <w:pStyle w:val="2"/>
        <w:spacing w:before="29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（五）通货膨胀的社会成本</w:t>
      </w:r>
    </w:p>
    <w:p w14:paraId="44D0B597">
      <w:pPr>
        <w:pStyle w:val="2"/>
        <w:spacing w:before="28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（六）古典的二分法</w:t>
      </w:r>
    </w:p>
    <w:p w14:paraId="14B9546B">
      <w:pPr>
        <w:spacing w:before="196" w:line="220" w:lineRule="auto"/>
        <w:ind w:left="29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3"/>
          <w:sz w:val="28"/>
          <w:szCs w:val="28"/>
        </w:rPr>
        <w:t>十三、长期中的失业理论</w:t>
      </w:r>
    </w:p>
    <w:p w14:paraId="0D0673B9">
      <w:pPr>
        <w:pStyle w:val="2"/>
        <w:spacing w:before="173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（一）长期中的失业理论</w:t>
      </w:r>
    </w:p>
    <w:p w14:paraId="15EE310E">
      <w:pPr>
        <w:pStyle w:val="2"/>
        <w:spacing w:before="28" w:line="219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（二）长期失业理论的应用</w:t>
      </w:r>
    </w:p>
    <w:p w14:paraId="1582081C">
      <w:pPr>
        <w:spacing w:before="194" w:line="220" w:lineRule="auto"/>
        <w:ind w:left="29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2"/>
          <w:sz w:val="28"/>
          <w:szCs w:val="28"/>
        </w:rPr>
        <w:t>十四、长期中的经济增长理论</w:t>
      </w:r>
    </w:p>
    <w:p w14:paraId="44BA841D">
      <w:pPr>
        <w:pStyle w:val="2"/>
        <w:spacing w:before="172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（一）增长核算与应用</w:t>
      </w:r>
    </w:p>
    <w:p w14:paraId="64F24220">
      <w:pPr>
        <w:pStyle w:val="2"/>
        <w:spacing w:before="29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5"/>
          <w:sz w:val="28"/>
          <w:szCs w:val="28"/>
        </w:rPr>
        <w:t>（二）</w:t>
      </w:r>
      <w:r>
        <w:rPr>
          <w:rFonts w:hint="eastAsia" w:ascii="仿宋" w:hAnsi="仿宋" w:eastAsia="仿宋" w:cs="仿宋"/>
          <w:spacing w:val="-5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5"/>
          <w:sz w:val="28"/>
          <w:szCs w:val="28"/>
        </w:rPr>
        <w:t>新古典增长理论、应用及政策</w:t>
      </w:r>
    </w:p>
    <w:p w14:paraId="669C73FF">
      <w:pPr>
        <w:pStyle w:val="2"/>
        <w:spacing w:before="31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（三）内生增长理论、应用及政策</w:t>
      </w:r>
    </w:p>
    <w:p w14:paraId="7125397F">
      <w:pPr>
        <w:spacing w:before="194" w:line="190" w:lineRule="auto"/>
        <w:ind w:left="2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5"/>
          <w:sz w:val="28"/>
          <w:szCs w:val="28"/>
        </w:rPr>
        <w:t>十五、短期的国民收入决定理论</w:t>
      </w:r>
      <w:r>
        <w:rPr>
          <w:rFonts w:hint="eastAsia" w:ascii="仿宋" w:hAnsi="仿宋" w:eastAsia="仿宋" w:cs="仿宋"/>
          <w:color w:val="333333"/>
          <w:spacing w:val="6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spacing w:val="-5"/>
          <w:sz w:val="28"/>
          <w:szCs w:val="28"/>
        </w:rPr>
        <w:t>Ⅰ</w:t>
      </w:r>
      <w:r>
        <w:rPr>
          <w:rFonts w:hint="eastAsia" w:ascii="仿宋" w:hAnsi="仿宋" w:eastAsia="仿宋" w:cs="仿宋"/>
          <w:color w:val="333333"/>
          <w:spacing w:val="-5"/>
          <w:sz w:val="28"/>
          <w:szCs w:val="28"/>
        </w:rPr>
        <w:t>：收入——支出模型</w:t>
      </w:r>
    </w:p>
    <w:p w14:paraId="3D07C3A7">
      <w:pPr>
        <w:pStyle w:val="2"/>
        <w:spacing w:before="133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（一）均衡产出</w:t>
      </w:r>
    </w:p>
    <w:p w14:paraId="72AF085B">
      <w:pPr>
        <w:spacing w:line="217" w:lineRule="auto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（二）凯恩斯的消费理论</w:t>
      </w:r>
    </w:p>
    <w:p w14:paraId="6DCD3970">
      <w:pPr>
        <w:pStyle w:val="2"/>
        <w:spacing w:before="47" w:line="219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（三）收入——支出模型及应用</w:t>
      </w:r>
    </w:p>
    <w:p w14:paraId="2B4A4DBE">
      <w:pPr>
        <w:pStyle w:val="2"/>
        <w:spacing w:before="28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（四）乘数论</w:t>
      </w:r>
    </w:p>
    <w:p w14:paraId="7B206DB3">
      <w:pPr>
        <w:spacing w:before="194" w:line="220" w:lineRule="auto"/>
        <w:ind w:left="29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4"/>
          <w:sz w:val="28"/>
          <w:szCs w:val="28"/>
        </w:rPr>
        <w:t>十六、封闭条件下的短期国民收入决定理论</w:t>
      </w:r>
      <w:r>
        <w:rPr>
          <w:rFonts w:hint="eastAsia" w:ascii="仿宋" w:hAnsi="仿宋" w:eastAsia="仿宋" w:cs="仿宋"/>
          <w:spacing w:val="4"/>
          <w:sz w:val="28"/>
          <w:szCs w:val="28"/>
        </w:rPr>
        <w:t>Ⅱ</w:t>
      </w:r>
      <w:r>
        <w:rPr>
          <w:rFonts w:hint="eastAsia" w:ascii="仿宋" w:hAnsi="仿宋" w:eastAsia="仿宋" w:cs="仿宋"/>
          <w:color w:val="333333"/>
          <w:spacing w:val="4"/>
          <w:sz w:val="28"/>
          <w:szCs w:val="28"/>
        </w:rPr>
        <w:t>：</w:t>
      </w:r>
      <w:r>
        <w:rPr>
          <w:rFonts w:hint="eastAsia" w:ascii="仿宋" w:hAnsi="仿宋" w:eastAsia="仿宋" w:cs="仿宋"/>
          <w:color w:val="333333"/>
          <w:sz w:val="28"/>
          <w:szCs w:val="28"/>
        </w:rPr>
        <w:t>IS</w:t>
      </w:r>
      <w:r>
        <w:rPr>
          <w:rFonts w:hint="eastAsia" w:ascii="仿宋" w:hAnsi="仿宋" w:eastAsia="仿宋" w:cs="仿宋"/>
          <w:color w:val="333333"/>
          <w:spacing w:val="4"/>
          <w:sz w:val="28"/>
          <w:szCs w:val="28"/>
        </w:rPr>
        <w:t>——</w:t>
      </w:r>
      <w:r>
        <w:rPr>
          <w:rFonts w:hint="eastAsia" w:ascii="仿宋" w:hAnsi="仿宋" w:eastAsia="仿宋" w:cs="仿宋"/>
          <w:color w:val="333333"/>
          <w:sz w:val="28"/>
          <w:szCs w:val="28"/>
        </w:rPr>
        <w:t>LM</w:t>
      </w:r>
      <w:r>
        <w:rPr>
          <w:rFonts w:hint="eastAsia" w:ascii="仿宋" w:hAnsi="仿宋" w:eastAsia="仿宋" w:cs="仿宋"/>
          <w:color w:val="333333"/>
          <w:spacing w:val="-4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333333"/>
          <w:spacing w:val="4"/>
          <w:sz w:val="28"/>
          <w:szCs w:val="28"/>
        </w:rPr>
        <w:t>模型</w:t>
      </w:r>
    </w:p>
    <w:p w14:paraId="31BB3D34">
      <w:pPr>
        <w:pStyle w:val="2"/>
        <w:spacing w:before="173" w:line="219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（一）投资的决定</w:t>
      </w:r>
    </w:p>
    <w:p w14:paraId="45DA6D39">
      <w:pPr>
        <w:pStyle w:val="2"/>
        <w:spacing w:before="27" w:line="219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（二）IS</w:t>
      </w:r>
      <w:r>
        <w:rPr>
          <w:rFonts w:hint="eastAsia" w:ascii="仿宋" w:hAnsi="仿宋" w:eastAsia="仿宋" w:cs="仿宋"/>
          <w:spacing w:val="-4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模型</w:t>
      </w:r>
    </w:p>
    <w:p w14:paraId="3D317AD6">
      <w:pPr>
        <w:pStyle w:val="2"/>
        <w:spacing w:before="27" w:line="219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（三）LM</w:t>
      </w:r>
      <w:r>
        <w:rPr>
          <w:rFonts w:hint="eastAsia" w:ascii="仿宋" w:hAnsi="仿宋" w:eastAsia="仿宋" w:cs="仿宋"/>
          <w:spacing w:val="-4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模型</w:t>
      </w:r>
    </w:p>
    <w:p w14:paraId="1F36255C">
      <w:pPr>
        <w:pStyle w:val="2"/>
        <w:spacing w:before="27" w:line="219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（四）IS—LM</w:t>
      </w:r>
      <w:r>
        <w:rPr>
          <w:rFonts w:hint="eastAsia" w:ascii="仿宋" w:hAnsi="仿宋" w:eastAsia="仿宋" w:cs="仿宋"/>
          <w:spacing w:val="-3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模型及应用</w:t>
      </w:r>
    </w:p>
    <w:p w14:paraId="53AC6715">
      <w:pPr>
        <w:pStyle w:val="2"/>
        <w:spacing w:before="28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6"/>
          <w:sz w:val="28"/>
          <w:szCs w:val="28"/>
        </w:rPr>
        <w:t>（五）</w:t>
      </w:r>
      <w:r>
        <w:rPr>
          <w:rFonts w:hint="eastAsia" w:ascii="仿宋" w:hAnsi="仿宋" w:eastAsia="仿宋" w:cs="仿宋"/>
          <w:spacing w:val="-5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6"/>
          <w:sz w:val="28"/>
          <w:szCs w:val="28"/>
        </w:rPr>
        <w:t>外生冲击下的短期均衡</w:t>
      </w:r>
    </w:p>
    <w:p w14:paraId="242D0E1C">
      <w:pPr>
        <w:pStyle w:val="2"/>
        <w:spacing w:before="30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（六）</w:t>
      </w:r>
      <w:r>
        <w:rPr>
          <w:rFonts w:hint="eastAsia" w:ascii="仿宋" w:hAnsi="仿宋" w:eastAsia="仿宋" w:cs="仿宋"/>
          <w:spacing w:val="-5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外生冲击下短期均衡向长期均衡的调整</w:t>
      </w:r>
    </w:p>
    <w:p w14:paraId="5FA14B6C">
      <w:pPr>
        <w:spacing w:before="194" w:line="190" w:lineRule="auto"/>
        <w:ind w:left="2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9"/>
          <w:sz w:val="28"/>
          <w:szCs w:val="28"/>
        </w:rPr>
        <w:t>十七、短期的国民收入决定理论</w:t>
      </w:r>
      <w:r>
        <w:rPr>
          <w:rFonts w:hint="eastAsia" w:ascii="仿宋" w:hAnsi="仿宋" w:eastAsia="仿宋" w:cs="仿宋"/>
          <w:b/>
          <w:bCs/>
          <w:spacing w:val="9"/>
          <w:sz w:val="28"/>
          <w:szCs w:val="28"/>
        </w:rPr>
        <w:t>Ⅲ</w:t>
      </w:r>
      <w:r>
        <w:rPr>
          <w:rFonts w:hint="eastAsia" w:ascii="仿宋" w:hAnsi="仿宋" w:eastAsia="仿宋" w:cs="仿宋"/>
          <w:color w:val="333333"/>
          <w:spacing w:val="9"/>
          <w:sz w:val="28"/>
          <w:szCs w:val="28"/>
        </w:rPr>
        <w:t>：</w:t>
      </w:r>
      <w:r>
        <w:rPr>
          <w:rFonts w:hint="eastAsia" w:ascii="仿宋" w:hAnsi="仿宋" w:eastAsia="仿宋" w:cs="仿宋"/>
          <w:color w:val="333333"/>
          <w:sz w:val="28"/>
          <w:szCs w:val="28"/>
        </w:rPr>
        <w:t>AD</w:t>
      </w:r>
      <w:r>
        <w:rPr>
          <w:rFonts w:hint="eastAsia" w:ascii="仿宋" w:hAnsi="仿宋" w:eastAsia="仿宋" w:cs="仿宋"/>
          <w:color w:val="333333"/>
          <w:spacing w:val="9"/>
          <w:sz w:val="28"/>
          <w:szCs w:val="28"/>
        </w:rPr>
        <w:t>—</w:t>
      </w:r>
      <w:r>
        <w:rPr>
          <w:rFonts w:hint="eastAsia" w:ascii="仿宋" w:hAnsi="仿宋" w:eastAsia="仿宋" w:cs="仿宋"/>
          <w:color w:val="333333"/>
          <w:sz w:val="28"/>
          <w:szCs w:val="28"/>
        </w:rPr>
        <w:t>AS</w:t>
      </w:r>
      <w:r>
        <w:rPr>
          <w:rFonts w:hint="eastAsia" w:ascii="仿宋" w:hAnsi="仿宋" w:eastAsia="仿宋" w:cs="仿宋"/>
          <w:color w:val="333333"/>
          <w:spacing w:val="-4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333333"/>
          <w:spacing w:val="9"/>
          <w:sz w:val="28"/>
          <w:szCs w:val="28"/>
        </w:rPr>
        <w:t>模型</w:t>
      </w:r>
    </w:p>
    <w:p w14:paraId="463C7A4A">
      <w:pPr>
        <w:pStyle w:val="2"/>
        <w:spacing w:before="134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（一）总需求模型</w:t>
      </w:r>
    </w:p>
    <w:p w14:paraId="0C41A300">
      <w:pPr>
        <w:pStyle w:val="2"/>
        <w:spacing w:before="28" w:line="219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（二）总供给模型</w:t>
      </w:r>
    </w:p>
    <w:p w14:paraId="5582619B">
      <w:pPr>
        <w:pStyle w:val="2"/>
        <w:spacing w:before="28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（三）总需求——总供给模型及应用</w:t>
      </w:r>
    </w:p>
    <w:p w14:paraId="26ED2746">
      <w:pPr>
        <w:pStyle w:val="2"/>
        <w:spacing w:before="29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（四）外生冲击下的短期均衡</w:t>
      </w:r>
    </w:p>
    <w:p w14:paraId="3B867AE5">
      <w:pPr>
        <w:pStyle w:val="2"/>
        <w:spacing w:before="30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（五）外生冲击下短期均衡向长期均衡的调整</w:t>
      </w:r>
    </w:p>
    <w:p w14:paraId="0438BD19">
      <w:pPr>
        <w:spacing w:before="194" w:line="219" w:lineRule="auto"/>
        <w:ind w:left="29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2"/>
          <w:sz w:val="28"/>
          <w:szCs w:val="28"/>
        </w:rPr>
        <w:t>十八、短期中的失业与通货膨胀</w:t>
      </w:r>
    </w:p>
    <w:p w14:paraId="0CC5F394">
      <w:pPr>
        <w:pStyle w:val="2"/>
        <w:spacing w:before="174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（一）短期中的失业理论</w:t>
      </w:r>
    </w:p>
    <w:p w14:paraId="6C6A5E54">
      <w:pPr>
        <w:pStyle w:val="2"/>
        <w:spacing w:before="29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（二）短期中的通货膨胀理论</w:t>
      </w:r>
    </w:p>
    <w:p w14:paraId="6EBC9974">
      <w:pPr>
        <w:pStyle w:val="2"/>
        <w:spacing w:before="29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（三）菲利普斯曲线</w:t>
      </w:r>
    </w:p>
    <w:p w14:paraId="063B9480">
      <w:pPr>
        <w:spacing w:before="194" w:line="220" w:lineRule="auto"/>
        <w:ind w:left="29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7"/>
          <w:sz w:val="28"/>
          <w:szCs w:val="28"/>
        </w:rPr>
        <w:t>十九、开放条件下的</w:t>
      </w:r>
      <w:r>
        <w:rPr>
          <w:rFonts w:hint="eastAsia" w:ascii="仿宋" w:hAnsi="仿宋" w:eastAsia="仿宋" w:cs="仿宋"/>
          <w:color w:val="333333"/>
          <w:spacing w:val="-4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333333"/>
          <w:sz w:val="28"/>
          <w:szCs w:val="28"/>
        </w:rPr>
        <w:t>IS</w:t>
      </w:r>
      <w:r>
        <w:rPr>
          <w:rFonts w:hint="eastAsia" w:ascii="仿宋" w:hAnsi="仿宋" w:eastAsia="仿宋" w:cs="仿宋"/>
          <w:color w:val="333333"/>
          <w:spacing w:val="7"/>
          <w:sz w:val="28"/>
          <w:szCs w:val="28"/>
        </w:rPr>
        <w:t>——</w:t>
      </w:r>
      <w:r>
        <w:rPr>
          <w:rFonts w:hint="eastAsia" w:ascii="仿宋" w:hAnsi="仿宋" w:eastAsia="仿宋" w:cs="仿宋"/>
          <w:color w:val="333333"/>
          <w:sz w:val="28"/>
          <w:szCs w:val="28"/>
        </w:rPr>
        <w:t>LM</w:t>
      </w:r>
      <w:r>
        <w:rPr>
          <w:rFonts w:hint="eastAsia" w:ascii="仿宋" w:hAnsi="仿宋" w:eastAsia="仿宋" w:cs="仿宋"/>
          <w:color w:val="333333"/>
          <w:spacing w:val="-5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333333"/>
          <w:spacing w:val="7"/>
          <w:sz w:val="28"/>
          <w:szCs w:val="28"/>
        </w:rPr>
        <w:t>模型</w:t>
      </w:r>
    </w:p>
    <w:p w14:paraId="392E00EB">
      <w:pPr>
        <w:pStyle w:val="2"/>
        <w:spacing w:before="174" w:line="219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（一）汇率与对外贸易</w:t>
      </w:r>
    </w:p>
    <w:p w14:paraId="3BB937F5">
      <w:pPr>
        <w:pStyle w:val="2"/>
        <w:spacing w:before="27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（二）蒙代尔——弗莱明模型及应用</w:t>
      </w:r>
    </w:p>
    <w:p w14:paraId="268B4EF1">
      <w:pPr>
        <w:spacing w:before="194" w:line="220" w:lineRule="auto"/>
        <w:ind w:left="2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1"/>
          <w:sz w:val="28"/>
          <w:szCs w:val="28"/>
        </w:rPr>
        <w:t>二十、宏观经济政策</w:t>
      </w:r>
    </w:p>
    <w:p w14:paraId="3FB6B6F0">
      <w:pPr>
        <w:pStyle w:val="2"/>
        <w:spacing w:before="172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（一）宏观经济政策与目标</w:t>
      </w:r>
    </w:p>
    <w:p w14:paraId="31E9E19A">
      <w:pPr>
        <w:pStyle w:val="2"/>
        <w:spacing w:before="31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（二）财政政策及其效果</w:t>
      </w:r>
    </w:p>
    <w:p w14:paraId="4CCCFE45">
      <w:pPr>
        <w:pStyle w:val="2"/>
        <w:spacing w:before="28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（三）货币政策及其效果</w:t>
      </w:r>
    </w:p>
    <w:p w14:paraId="6A95CA8C">
      <w:pPr>
        <w:pStyle w:val="2"/>
        <w:spacing w:before="28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（四）两种政策的混合使用</w:t>
      </w:r>
    </w:p>
    <w:p w14:paraId="3F5B1189">
      <w:pPr>
        <w:pStyle w:val="2"/>
        <w:spacing w:before="31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（五）总需求管理政策与总供给管理政策</w:t>
      </w:r>
    </w:p>
    <w:p w14:paraId="5157EB8F">
      <w:pPr>
        <w:pStyle w:val="2"/>
        <w:spacing w:before="28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7"/>
          <w:sz w:val="28"/>
          <w:szCs w:val="28"/>
        </w:rPr>
        <w:t>（六）</w:t>
      </w:r>
      <w:r>
        <w:rPr>
          <w:rFonts w:hint="eastAsia" w:ascii="仿宋" w:hAnsi="仿宋" w:eastAsia="仿宋" w:cs="仿宋"/>
          <w:spacing w:val="-6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7"/>
          <w:sz w:val="28"/>
          <w:szCs w:val="28"/>
        </w:rPr>
        <w:t>宏观经济政策争论</w:t>
      </w:r>
    </w:p>
    <w:p w14:paraId="2AED14D6">
      <w:pPr>
        <w:spacing w:before="195" w:line="220" w:lineRule="auto"/>
        <w:ind w:left="2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pacing w:val="-1"/>
          <w:sz w:val="28"/>
          <w:szCs w:val="28"/>
        </w:rPr>
        <w:t>二十一、宏观经济学的微观基础</w:t>
      </w:r>
    </w:p>
    <w:p w14:paraId="54408E29">
      <w:pPr>
        <w:pStyle w:val="2"/>
        <w:spacing w:before="174" w:line="217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（一）消费理论</w:t>
      </w:r>
    </w:p>
    <w:p w14:paraId="60EF0C7E">
      <w:pPr>
        <w:pStyle w:val="2"/>
        <w:spacing w:before="29" w:line="220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（二）投资理论</w:t>
      </w:r>
    </w:p>
    <w:p w14:paraId="579C05F4">
      <w:pPr>
        <w:pStyle w:val="2"/>
        <w:spacing w:before="27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8"/>
          <w:sz w:val="28"/>
          <w:szCs w:val="28"/>
        </w:rPr>
        <w:t>（三）货币供给理论</w:t>
      </w:r>
    </w:p>
    <w:p w14:paraId="77AAABAB">
      <w:pPr>
        <w:pStyle w:val="2"/>
        <w:spacing w:before="28" w:line="218" w:lineRule="auto"/>
        <w:ind w:left="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（四）货币需求理论</w:t>
      </w:r>
    </w:p>
    <w:sectPr>
      <w:footerReference r:id="rId5" w:type="default"/>
      <w:pgSz w:w="11907" w:h="16839"/>
      <w:pgMar w:top="1428" w:right="1785" w:bottom="1372" w:left="1785" w:header="0" w:footer="12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EC2D3F47-435F-4B14-890D-08223AB7427E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B048594E-E21C-4706-A5BB-9097856024B0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DD2D141E-9ECA-4ABB-8102-B3BD2FBC1E7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333B3C">
    <w:pPr>
      <w:spacing w:line="166" w:lineRule="auto"/>
      <w:ind w:right="7"/>
      <w:jc w:val="right"/>
      <w:rPr>
        <w:rFonts w:hint="eastAsia" w:ascii="Calibri" w:hAnsi="Calibri" w:eastAsia="宋体" w:cs="Calibri"/>
        <w:sz w:val="18"/>
        <w:szCs w:val="18"/>
        <w:lang w:val="en-US"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29D5D89"/>
    <w:rsid w:val="12957CAA"/>
    <w:rsid w:val="42351F21"/>
    <w:rsid w:val="491159A4"/>
    <w:rsid w:val="654C58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1699</Words>
  <Characters>1721</Characters>
  <TotalTime>4</TotalTime>
  <ScaleCrop>false</ScaleCrop>
  <LinksUpToDate>false</LinksUpToDate>
  <CharactersWithSpaces>1751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2023-12-15T14:16:00Z</dcterms:created>
  <dc:creator>微软用户</dc:creator>
  <cp:lastModifiedBy>夭桃秾李</cp:lastModifiedBy>
  <dcterms:modified xsi:type="dcterms:W3CDTF">2024-12-04T06:29:58Z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2024-11-25T14:50:20Z</vt:filetime>
  </property>
  <property fmtid="{D5CDD505-2E9C-101B-9397-08002B2CF9AE}" pid="4" name="KSOProductBuildVer">
    <vt:lpwstr>2052-12.1.0.19302</vt:lpwstr>
  </property>
  <property fmtid="{D5CDD505-2E9C-101B-9397-08002B2CF9AE}" pid="5" name="ICV">
    <vt:lpwstr>1C9E059DF45543538E460398C3283B8D</vt:lpwstr>
  </property>
</Properties>
</file>