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D6A2E" w14:textId="50355168" w:rsidR="007D0512" w:rsidRDefault="007F693D">
      <w:pPr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辽宁大学202</w:t>
      </w:r>
      <w:r w:rsidR="00A119B7">
        <w:rPr>
          <w:rFonts w:ascii="华文中宋" w:eastAsia="华文中宋" w:hAnsi="华文中宋"/>
          <w:sz w:val="32"/>
          <w:szCs w:val="32"/>
        </w:rPr>
        <w:t>2</w:t>
      </w:r>
      <w:r>
        <w:rPr>
          <w:rFonts w:ascii="华文中宋" w:eastAsia="华文中宋" w:hAnsi="华文中宋" w:hint="eastAsia"/>
          <w:sz w:val="32"/>
          <w:szCs w:val="32"/>
        </w:rPr>
        <w:t>年招收攻读博士学位研究生(普通招考方式)</w:t>
      </w:r>
    </w:p>
    <w:p w14:paraId="27DF2727" w14:textId="77777777" w:rsidR="007D0512" w:rsidRDefault="007F693D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初试科目考试大纲</w:t>
      </w:r>
    </w:p>
    <w:p w14:paraId="36EDBEBD" w14:textId="77777777" w:rsidR="007D0512" w:rsidRDefault="007D0512">
      <w:pPr>
        <w:rPr>
          <w:rFonts w:ascii="仿宋" w:eastAsia="仿宋" w:hAnsi="仿宋"/>
          <w:sz w:val="28"/>
          <w:szCs w:val="28"/>
        </w:rPr>
      </w:pPr>
    </w:p>
    <w:p w14:paraId="59BB1BA5" w14:textId="77777777" w:rsidR="007D0512" w:rsidRDefault="007F693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科目代码： 3050</w:t>
      </w:r>
    </w:p>
    <w:p w14:paraId="7A20719D" w14:textId="77777777" w:rsidR="007D0512" w:rsidRDefault="007F693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科目名称： 刑事诉讼法学</w:t>
      </w:r>
    </w:p>
    <w:p w14:paraId="49B38AB9" w14:textId="77777777" w:rsidR="007D0512" w:rsidRDefault="007F693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满分：100分</w:t>
      </w:r>
    </w:p>
    <w:p w14:paraId="07DDAA43" w14:textId="77777777" w:rsidR="007D0512" w:rsidRDefault="007F693D" w:rsidP="007F693D">
      <w:pPr>
        <w:pStyle w:val="6"/>
        <w:ind w:leftChars="70" w:left="707" w:hangingChars="200" w:hanging="56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一、刑事诉讼法学的基本范畴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br/>
        <w:t>1.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刑事诉讼价值</w:t>
      </w:r>
    </w:p>
    <w:p w14:paraId="5DD971A7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2.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刑事诉讼目的</w:t>
      </w:r>
    </w:p>
    <w:p w14:paraId="79E9FF09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3.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刑事诉讼构造</w:t>
      </w:r>
    </w:p>
    <w:p w14:paraId="20EA07A3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4.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刑事诉讼阶段</w:t>
      </w:r>
    </w:p>
    <w:p w14:paraId="4D33CC5C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5.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刑事诉讼法律关系</w:t>
      </w:r>
    </w:p>
    <w:p w14:paraId="5733BE96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6.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刑事诉讼主体</w:t>
      </w:r>
    </w:p>
    <w:p w14:paraId="7723602C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7.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刑事诉讼职能</w:t>
      </w:r>
    </w:p>
    <w:p w14:paraId="232D7677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8.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刑事诉讼客体</w:t>
      </w:r>
    </w:p>
    <w:p w14:paraId="22267E16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9.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刑事诉讼行为</w:t>
      </w:r>
    </w:p>
    <w:p w14:paraId="39BFD714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10.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刑事诉讼基本原则</w:t>
      </w:r>
    </w:p>
    <w:p w14:paraId="0FAADFE1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11.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程序性法律后果与程序制裁</w:t>
      </w:r>
    </w:p>
    <w:p w14:paraId="295B6466" w14:textId="77777777" w:rsidR="007D0512" w:rsidRDefault="007F693D" w:rsidP="007F693D">
      <w:pPr>
        <w:pStyle w:val="6"/>
        <w:ind w:leftChars="79" w:left="284" w:hangingChars="42" w:hanging="118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二、刑事诉讼的构造</w:t>
      </w:r>
    </w:p>
    <w:p w14:paraId="32277698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1.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刑事诉讼的横向构造</w:t>
      </w:r>
    </w:p>
    <w:p w14:paraId="2EFD8162" w14:textId="77777777" w:rsidR="007D0512" w:rsidRDefault="007F693D">
      <w:pPr>
        <w:pStyle w:val="6"/>
        <w:ind w:leftChars="0" w:left="140" w:hanging="14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 xml:space="preserve">  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（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1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）审前程序构造</w:t>
      </w:r>
    </w:p>
    <w:p w14:paraId="4E59501D" w14:textId="77777777" w:rsidR="007D0512" w:rsidRDefault="007F693D">
      <w:pPr>
        <w:pStyle w:val="6"/>
        <w:ind w:leftChars="0" w:left="140" w:hanging="14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 xml:space="preserve">  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（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2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）审判程序构造</w:t>
      </w:r>
    </w:p>
    <w:p w14:paraId="53633543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lastRenderedPageBreak/>
        <w:t>2.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刑事诉讼的纵向构造</w:t>
      </w:r>
    </w:p>
    <w:p w14:paraId="1FFF252E" w14:textId="77777777" w:rsidR="007D0512" w:rsidRDefault="007F693D">
      <w:pPr>
        <w:pStyle w:val="6"/>
        <w:ind w:leftChars="0" w:left="140" w:hanging="14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三、程序正义理论</w:t>
      </w:r>
    </w:p>
    <w:p w14:paraId="1A422763" w14:textId="77777777" w:rsidR="007D0512" w:rsidRDefault="007F693D">
      <w:pPr>
        <w:pStyle w:val="6"/>
        <w:ind w:leftChars="301" w:left="632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1.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程序正义与当代的程序价值理论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br/>
        <w:t>2.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程序正义价值的独立性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br/>
        <w:t>3.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程序正义与其他正义形态的关系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br/>
        <w:t>4.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程序正义的基本构成要素</w:t>
      </w:r>
    </w:p>
    <w:p w14:paraId="76EDB3FD" w14:textId="01F6447E" w:rsidR="007D0512" w:rsidRDefault="007F693D" w:rsidP="007F693D">
      <w:pPr>
        <w:pStyle w:val="6"/>
        <w:ind w:leftChars="0" w:left="0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四、认罪认罚从宽制度属性与功能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br/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五、刑事诉讼中的公民权利保护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br/>
        <w:t xml:space="preserve">     1.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犯罪嫌疑人、被告人的诉讼权利与权利保护</w:t>
      </w:r>
    </w:p>
    <w:p w14:paraId="181EE580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2.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被害人的诉讼权利与权利保护</w:t>
      </w:r>
    </w:p>
    <w:p w14:paraId="74572B40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3.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其他公民的权利保护</w:t>
      </w:r>
    </w:p>
    <w:p w14:paraId="4F232897" w14:textId="77777777" w:rsidR="007D0512" w:rsidRDefault="007F693D" w:rsidP="007F693D">
      <w:pPr>
        <w:pStyle w:val="6"/>
        <w:ind w:leftChars="0" w:left="0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六、刑事诉讼程序原理与机制</w:t>
      </w:r>
    </w:p>
    <w:p w14:paraId="12D909E4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1.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管辖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 </w:t>
      </w:r>
    </w:p>
    <w:p w14:paraId="2B5D2BEC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2.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回避</w:t>
      </w:r>
    </w:p>
    <w:p w14:paraId="306ACA23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3.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辩护</w:t>
      </w:r>
    </w:p>
    <w:p w14:paraId="0BD96C8C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4.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强制措施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 </w:t>
      </w:r>
    </w:p>
    <w:p w14:paraId="2F25E371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5.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附带民事诉讼</w:t>
      </w:r>
    </w:p>
    <w:p w14:paraId="5B9342D0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6.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立案</w:t>
      </w:r>
    </w:p>
    <w:p w14:paraId="3B76FA75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7.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侦查</w:t>
      </w: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 </w:t>
      </w:r>
    </w:p>
    <w:p w14:paraId="5E732CA0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8.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起诉与不起诉</w:t>
      </w:r>
    </w:p>
    <w:p w14:paraId="0383D2F7" w14:textId="77777777" w:rsidR="007D0512" w:rsidRDefault="007F693D">
      <w:pPr>
        <w:pStyle w:val="6"/>
        <w:ind w:leftChars="215" w:left="451" w:firstLineChars="50" w:firstLine="14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 9.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自诉</w:t>
      </w:r>
    </w:p>
    <w:p w14:paraId="7341033A" w14:textId="77777777" w:rsidR="007D0512" w:rsidRDefault="007F693D">
      <w:pPr>
        <w:pStyle w:val="6"/>
        <w:ind w:leftChars="215" w:left="451" w:firstLineChars="50" w:firstLine="14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 10.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第一审程序</w:t>
      </w:r>
    </w:p>
    <w:p w14:paraId="2025BC70" w14:textId="77777777" w:rsidR="007D0512" w:rsidRDefault="007F693D">
      <w:pPr>
        <w:pStyle w:val="6"/>
        <w:ind w:leftChars="342" w:left="7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lastRenderedPageBreak/>
        <w:t>11.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简易程序、</w:t>
      </w:r>
      <w:proofErr w:type="gramStart"/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速裁程序</w:t>
      </w:r>
      <w:proofErr w:type="gramEnd"/>
    </w:p>
    <w:p w14:paraId="62BACB9C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12.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第二审程序</w:t>
      </w:r>
    </w:p>
    <w:p w14:paraId="3321FEFB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13.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死刑复核程序</w:t>
      </w:r>
    </w:p>
    <w:p w14:paraId="3A3FBED2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14.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审判监督程序</w:t>
      </w:r>
    </w:p>
    <w:p w14:paraId="3A885DC0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15.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未成年人刑事诉讼程序</w:t>
      </w:r>
    </w:p>
    <w:p w14:paraId="1C8151F7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16.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当事人和解的公诉案件诉讼程序</w:t>
      </w:r>
    </w:p>
    <w:p w14:paraId="28322196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17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缺席审判</w:t>
      </w:r>
    </w:p>
    <w:p w14:paraId="263F3B74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18.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没收违法所得程序</w:t>
      </w:r>
    </w:p>
    <w:p w14:paraId="62D8A150" w14:textId="77777777" w:rsidR="007D0512" w:rsidRDefault="007F693D">
      <w:pPr>
        <w:pStyle w:val="6"/>
        <w:ind w:leftChars="215" w:left="451" w:firstLineChars="100" w:firstLine="28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19.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强制医疗程序</w:t>
      </w:r>
    </w:p>
    <w:p w14:paraId="2BB1618A" w14:textId="77777777" w:rsidR="007D0512" w:rsidRDefault="007F693D">
      <w:pPr>
        <w:pStyle w:val="6"/>
        <w:ind w:leftChars="56" w:left="1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七、司法体制改革对刑事诉讼程序的影响</w:t>
      </w:r>
    </w:p>
    <w:p w14:paraId="4EF7BF0D" w14:textId="77777777" w:rsidR="007D0512" w:rsidRDefault="007F693D">
      <w:pPr>
        <w:pStyle w:val="6"/>
        <w:ind w:leftChars="56" w:left="118" w:firstLineChars="0" w:firstLine="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八、证据制度</w:t>
      </w:r>
    </w:p>
    <w:p w14:paraId="11694059" w14:textId="77777777" w:rsidR="007D0512" w:rsidRDefault="007F693D" w:rsidP="007F693D">
      <w:pPr>
        <w:pStyle w:val="6"/>
        <w:ind w:leftChars="67" w:left="141" w:firstLineChars="200" w:firstLine="56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1.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证据学原理</w:t>
      </w:r>
    </w:p>
    <w:p w14:paraId="0DD65C05" w14:textId="77777777" w:rsidR="007D0512" w:rsidRDefault="007F693D" w:rsidP="007F693D">
      <w:pPr>
        <w:pStyle w:val="6"/>
        <w:ind w:leftChars="67" w:left="141" w:firstLineChars="200" w:firstLine="56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>2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．证据规则</w:t>
      </w:r>
    </w:p>
    <w:p w14:paraId="7394DC71" w14:textId="77777777" w:rsidR="007D0512" w:rsidRDefault="007F693D" w:rsidP="007F693D">
      <w:pPr>
        <w:pStyle w:val="6"/>
        <w:ind w:leftChars="67" w:left="141" w:firstLineChars="200" w:firstLine="560"/>
        <w:rPr>
          <w:rFonts w:asciiTheme="minorHAnsi" w:eastAsiaTheme="minorEastAsia" w:hAnsiTheme="minorHAnsi" w:cstheme="minorBidi"/>
          <w:color w:val="auto"/>
          <w:sz w:val="28"/>
          <w:szCs w:val="28"/>
        </w:rPr>
      </w:pPr>
      <w:r>
        <w:rPr>
          <w:rFonts w:asciiTheme="minorHAnsi" w:eastAsiaTheme="minorEastAsia" w:hAnsiTheme="minorHAnsi" w:cstheme="minorBidi"/>
          <w:color w:val="auto"/>
          <w:sz w:val="28"/>
          <w:szCs w:val="28"/>
        </w:rPr>
        <w:t xml:space="preserve">3. </w:t>
      </w:r>
      <w:r>
        <w:rPr>
          <w:rFonts w:asciiTheme="minorHAnsi" w:eastAsiaTheme="minorEastAsia" w:hAnsiTheme="minorHAnsi" w:cstheme="minorBidi" w:hint="eastAsia"/>
          <w:color w:val="auto"/>
          <w:sz w:val="28"/>
          <w:szCs w:val="28"/>
        </w:rPr>
        <w:t>证明过程</w:t>
      </w:r>
    </w:p>
    <w:p w14:paraId="30D9D6D5" w14:textId="77777777" w:rsidR="007D0512" w:rsidRDefault="007D0512"/>
    <w:p w14:paraId="301385EB" w14:textId="77777777" w:rsidR="007D0512" w:rsidRDefault="007D0512">
      <w:pPr>
        <w:rPr>
          <w:rFonts w:ascii="仿宋" w:eastAsia="仿宋" w:hAnsi="仿宋"/>
          <w:sz w:val="28"/>
          <w:szCs w:val="28"/>
        </w:rPr>
      </w:pPr>
    </w:p>
    <w:sectPr w:rsidR="007D05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5A0AB" w14:textId="77777777" w:rsidR="00B7125F" w:rsidRDefault="00B7125F" w:rsidP="00A119B7">
      <w:r>
        <w:separator/>
      </w:r>
    </w:p>
  </w:endnote>
  <w:endnote w:type="continuationSeparator" w:id="0">
    <w:p w14:paraId="65A61CCC" w14:textId="77777777" w:rsidR="00B7125F" w:rsidRDefault="00B7125F" w:rsidP="00A1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A143" w14:textId="77777777" w:rsidR="00B7125F" w:rsidRDefault="00B7125F" w:rsidP="00A119B7">
      <w:r>
        <w:separator/>
      </w:r>
    </w:p>
  </w:footnote>
  <w:footnote w:type="continuationSeparator" w:id="0">
    <w:p w14:paraId="0D1E21F2" w14:textId="77777777" w:rsidR="00B7125F" w:rsidRDefault="00B7125F" w:rsidP="00A11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0BC3"/>
    <w:rsid w:val="000C491C"/>
    <w:rsid w:val="000F1525"/>
    <w:rsid w:val="00110BC3"/>
    <w:rsid w:val="001E133B"/>
    <w:rsid w:val="00441E44"/>
    <w:rsid w:val="00581169"/>
    <w:rsid w:val="005A17F1"/>
    <w:rsid w:val="00614DD4"/>
    <w:rsid w:val="007D0512"/>
    <w:rsid w:val="007F693D"/>
    <w:rsid w:val="00A119B7"/>
    <w:rsid w:val="00A75114"/>
    <w:rsid w:val="00B7125F"/>
    <w:rsid w:val="00BC7128"/>
    <w:rsid w:val="00C208A1"/>
    <w:rsid w:val="00C61048"/>
    <w:rsid w:val="00CA0A26"/>
    <w:rsid w:val="00D056D7"/>
    <w:rsid w:val="00D6573B"/>
    <w:rsid w:val="00E76FA1"/>
    <w:rsid w:val="532D5C89"/>
    <w:rsid w:val="5E2B0E7F"/>
    <w:rsid w:val="6A875B9E"/>
    <w:rsid w:val="6E504B33"/>
    <w:rsid w:val="78150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B5CFE7"/>
  <w15:docId w15:val="{D8A983CE-3FB0-4298-A417-A23C830E1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6">
    <w:name w:val="index 6"/>
    <w:next w:val="a"/>
    <w:semiHidden/>
    <w:unhideWhenUsed/>
    <w:qFormat/>
    <w:pPr>
      <w:spacing w:line="360" w:lineRule="auto"/>
      <w:ind w:leftChars="172" w:left="602" w:hangingChars="50" w:hanging="120"/>
    </w:pPr>
    <w:rPr>
      <w:rFonts w:ascii="黑体" w:eastAsia="黑体" w:hAnsi="黑体" w:cs="宋体"/>
      <w:color w:val="000000"/>
      <w:sz w:val="24"/>
      <w:szCs w:val="24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</Words>
  <Characters>562</Characters>
  <Application>Microsoft Office Word</Application>
  <DocSecurity>0</DocSecurity>
  <Lines>4</Lines>
  <Paragraphs>1</Paragraphs>
  <ScaleCrop>false</ScaleCrop>
  <Company>china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 Y</cp:lastModifiedBy>
  <cp:revision>12</cp:revision>
  <cp:lastPrinted>2020-10-28T06:24:00Z</cp:lastPrinted>
  <dcterms:created xsi:type="dcterms:W3CDTF">2020-10-19T09:11:00Z</dcterms:created>
  <dcterms:modified xsi:type="dcterms:W3CDTF">2021-12-15T05:39:00Z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