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8EC9" w14:textId="21C8FDC3" w:rsidR="002A34FB" w:rsidRDefault="002A34FB" w:rsidP="002A34FB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辽宁大学202</w:t>
      </w:r>
      <w:r w:rsidR="00A12BFE">
        <w:rPr>
          <w:rFonts w:ascii="宋体" w:eastAsia="宋体" w:hAnsi="宋体"/>
          <w:b/>
          <w:sz w:val="32"/>
          <w:szCs w:val="32"/>
        </w:rPr>
        <w:t>2</w:t>
      </w:r>
      <w:r>
        <w:rPr>
          <w:rFonts w:ascii="宋体" w:eastAsia="宋体" w:hAnsi="宋体" w:hint="eastAsia"/>
          <w:b/>
          <w:sz w:val="32"/>
          <w:szCs w:val="32"/>
        </w:rPr>
        <w:t>年招收攻读博士学位研究生普通招考方式</w:t>
      </w:r>
    </w:p>
    <w:p w14:paraId="1C7C6E45" w14:textId="77777777" w:rsidR="002A34FB" w:rsidRDefault="002A34FB" w:rsidP="002A34FB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初试科目考试大纲</w:t>
      </w:r>
    </w:p>
    <w:p w14:paraId="6C9F0359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科目代码：</w:t>
      </w:r>
      <w:r>
        <w:rPr>
          <w:rFonts w:hint="eastAsia"/>
          <w:sz w:val="28"/>
          <w:szCs w:val="28"/>
        </w:rPr>
        <w:t>3029</w:t>
      </w:r>
    </w:p>
    <w:p w14:paraId="2B507152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科目名称：民事法律制度</w:t>
      </w:r>
    </w:p>
    <w:p w14:paraId="48181BF3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满分：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分</w:t>
      </w:r>
    </w:p>
    <w:p w14:paraId="5FF505DA" w14:textId="77777777" w:rsidR="002A34FB" w:rsidRDefault="002A34FB" w:rsidP="002A34FB">
      <w:pPr>
        <w:rPr>
          <w:bCs/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物权编部分</w:t>
      </w:r>
      <w:proofErr w:type="gramEnd"/>
    </w:p>
    <w:p w14:paraId="55EE6E76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一、物权法的性质</w:t>
      </w:r>
    </w:p>
    <w:p w14:paraId="37107EC8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二、物权法的发展历史与理念变化</w:t>
      </w:r>
    </w:p>
    <w:p w14:paraId="0EDC974D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三、物债二分的理论评价，物权法与债权法的关联</w:t>
      </w:r>
    </w:p>
    <w:p w14:paraId="3FA513E1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四、物权法的基本原则</w:t>
      </w:r>
    </w:p>
    <w:p w14:paraId="3AF86D57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五、物权的性质与类型</w:t>
      </w:r>
    </w:p>
    <w:p w14:paraId="67876AD6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六、物权的客体与分类以及现代社会客体的变化</w:t>
      </w:r>
    </w:p>
    <w:p w14:paraId="511A717A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七、物权效力的观点与评价</w:t>
      </w:r>
    </w:p>
    <w:p w14:paraId="7E803813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八、物权的保护方法评析</w:t>
      </w:r>
    </w:p>
    <w:p w14:paraId="17F41A2E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九、物权变动的模式评析</w:t>
      </w:r>
    </w:p>
    <w:p w14:paraId="0A9D1222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十、非法律行为物权变动规则评价</w:t>
      </w:r>
    </w:p>
    <w:p w14:paraId="46CD5767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十一、占有的原理与效力</w:t>
      </w:r>
    </w:p>
    <w:p w14:paraId="4E9ED4F9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十二、占有状态的推定</w:t>
      </w:r>
    </w:p>
    <w:p w14:paraId="3E5D2408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十三、所有权的地位与社会作用</w:t>
      </w:r>
    </w:p>
    <w:p w14:paraId="163C1D00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十四、所有权的内容与限制</w:t>
      </w:r>
    </w:p>
    <w:p w14:paraId="1B315787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十五、自然资源国家所有权行使规则评析</w:t>
      </w:r>
    </w:p>
    <w:p w14:paraId="4EF7974E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十六、无人居住海岛使用权规则</w:t>
      </w:r>
    </w:p>
    <w:p w14:paraId="0B746D32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lastRenderedPageBreak/>
        <w:t>十七、用益物权的种类变化和现代特征</w:t>
      </w:r>
    </w:p>
    <w:p w14:paraId="0C8DD32F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十八、自然资源用益物权的类别与学术争论</w:t>
      </w:r>
    </w:p>
    <w:p w14:paraId="37EB7882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十九、土地承包经营权、土地经营权的结构和法律性质</w:t>
      </w:r>
    </w:p>
    <w:p w14:paraId="5F7AE32C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二十、集体所有权行使规则评析</w:t>
      </w:r>
    </w:p>
    <w:p w14:paraId="086A07EC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二十一、国有建设用地使用权的类型和改革方向</w:t>
      </w:r>
    </w:p>
    <w:p w14:paraId="66BEA2A7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二十二、集体经营性建设用地使用权入市的规则，宅基地“三权分置”改革的民法规范与问题</w:t>
      </w:r>
    </w:p>
    <w:p w14:paraId="3A72CA2B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二十三、《民法典》担保物权新</w:t>
      </w:r>
      <w:proofErr w:type="gramStart"/>
      <w:r>
        <w:rPr>
          <w:rFonts w:hint="eastAsia"/>
          <w:bCs/>
          <w:sz w:val="28"/>
          <w:szCs w:val="28"/>
        </w:rPr>
        <w:t>规</w:t>
      </w:r>
      <w:proofErr w:type="gramEnd"/>
      <w:r>
        <w:rPr>
          <w:rFonts w:hint="eastAsia"/>
          <w:bCs/>
          <w:sz w:val="28"/>
          <w:szCs w:val="28"/>
        </w:rPr>
        <w:t>及评价</w:t>
      </w:r>
    </w:p>
    <w:p w14:paraId="60C2A3DE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二十四、</w:t>
      </w:r>
      <w:proofErr w:type="gramStart"/>
      <w:r>
        <w:rPr>
          <w:rFonts w:hint="eastAsia"/>
          <w:bCs/>
          <w:sz w:val="28"/>
          <w:szCs w:val="28"/>
        </w:rPr>
        <w:t>空间权理论</w:t>
      </w:r>
      <w:proofErr w:type="gramEnd"/>
      <w:r>
        <w:rPr>
          <w:rFonts w:hint="eastAsia"/>
          <w:bCs/>
          <w:sz w:val="28"/>
          <w:szCs w:val="28"/>
        </w:rPr>
        <w:t>与自然资源</w:t>
      </w:r>
      <w:proofErr w:type="gramStart"/>
      <w:r>
        <w:rPr>
          <w:rFonts w:hint="eastAsia"/>
          <w:bCs/>
          <w:sz w:val="28"/>
          <w:szCs w:val="28"/>
        </w:rPr>
        <w:t>空间权</w:t>
      </w:r>
      <w:proofErr w:type="gramEnd"/>
      <w:r>
        <w:rPr>
          <w:rFonts w:hint="eastAsia"/>
          <w:bCs/>
          <w:sz w:val="28"/>
          <w:szCs w:val="28"/>
        </w:rPr>
        <w:t>制度的发展</w:t>
      </w:r>
    </w:p>
    <w:p w14:paraId="26156A18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二十五、民事主体类型与理论</w:t>
      </w:r>
    </w:p>
    <w:p w14:paraId="1E93EA85" w14:textId="77777777" w:rsidR="002A34FB" w:rsidRDefault="002A34FB" w:rsidP="002A34FB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二十六、民事权利客体与自然资源物权客体理论</w:t>
      </w:r>
    </w:p>
    <w:p w14:paraId="2B98B4F4" w14:textId="77777777" w:rsidR="002A34FB" w:rsidRDefault="002A34FB" w:rsidP="002A34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二十七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民法典内部体系与外部体系原理与应用</w:t>
      </w:r>
    </w:p>
    <w:p w14:paraId="1C62B6CE" w14:textId="77777777" w:rsidR="002A34FB" w:rsidRDefault="002A34FB" w:rsidP="002A34FB">
      <w:pPr>
        <w:rPr>
          <w:sz w:val="28"/>
          <w:szCs w:val="28"/>
        </w:rPr>
      </w:pPr>
    </w:p>
    <w:p w14:paraId="120BBF3A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侵权责任编部分</w:t>
      </w:r>
    </w:p>
    <w:p w14:paraId="67B3C4FF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侵权法的基本范畴。</w:t>
      </w:r>
    </w:p>
    <w:p w14:paraId="76995BED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侵权法的基本功能。</w:t>
      </w:r>
    </w:p>
    <w:p w14:paraId="74688583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侵权法的一般条款。</w:t>
      </w:r>
    </w:p>
    <w:p w14:paraId="68D6DA83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现代侵权法的发展。</w:t>
      </w:r>
    </w:p>
    <w:p w14:paraId="1589D166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侵权法的调整范围。</w:t>
      </w:r>
    </w:p>
    <w:p w14:paraId="6332E88E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纯粹经济损失。</w:t>
      </w:r>
    </w:p>
    <w:p w14:paraId="331079C3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纯粹精神损失。</w:t>
      </w:r>
    </w:p>
    <w:p w14:paraId="1A1BF014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违法性认定的类型。</w:t>
      </w:r>
    </w:p>
    <w:p w14:paraId="3CD5F89F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公共政策对侵权法的影响。</w:t>
      </w:r>
    </w:p>
    <w:p w14:paraId="77AFBEEE" w14:textId="77777777" w:rsidR="002A34FB" w:rsidRDefault="002A34FB" w:rsidP="002A34FB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侵权的限定性与非限定性。</w:t>
      </w:r>
    </w:p>
    <w:p w14:paraId="2C3CA221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十一、因果关系的认定方法。</w:t>
      </w:r>
    </w:p>
    <w:p w14:paraId="2D249498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十二、过失的判定标准。</w:t>
      </w:r>
    </w:p>
    <w:p w14:paraId="6F65656E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十三、公平责任的评析。</w:t>
      </w:r>
    </w:p>
    <w:p w14:paraId="1FF1217A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十四、损益相抵的类型。</w:t>
      </w:r>
    </w:p>
    <w:p w14:paraId="009E0A2F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十五、过失相抵的适用及其限制。</w:t>
      </w:r>
    </w:p>
    <w:p w14:paraId="49F95DC7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十六、评析我国的精神损害赔偿制度。</w:t>
      </w:r>
    </w:p>
    <w:p w14:paraId="7E8F77AD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十七、侵权获利性赔偿。</w:t>
      </w:r>
    </w:p>
    <w:p w14:paraId="60EF3217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十八、评析宪法权利的侵权法救济。</w:t>
      </w:r>
    </w:p>
    <w:p w14:paraId="53617B24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十九、过错的内涵。</w:t>
      </w:r>
    </w:p>
    <w:p w14:paraId="5DBDE54D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二十、多元化救济机制的建立。</w:t>
      </w:r>
    </w:p>
    <w:p w14:paraId="591290EA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二十一、共同危险行为的构成及其法律后果</w:t>
      </w:r>
    </w:p>
    <w:p w14:paraId="384E47F6" w14:textId="77777777" w:rsidR="002A34FB" w:rsidRDefault="002A34FB" w:rsidP="002A34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二十二、违反安全保障义务的侵权责任。</w:t>
      </w:r>
    </w:p>
    <w:p w14:paraId="2E2B71E0" w14:textId="77777777" w:rsidR="002A34FB" w:rsidRDefault="002A34FB" w:rsidP="002A34FB">
      <w:pPr>
        <w:rPr>
          <w:sz w:val="28"/>
          <w:szCs w:val="28"/>
        </w:rPr>
      </w:pPr>
    </w:p>
    <w:p w14:paraId="53BC591E" w14:textId="77777777" w:rsidR="002A34FB" w:rsidRDefault="002A34FB" w:rsidP="002A34FB">
      <w:pPr>
        <w:rPr>
          <w:sz w:val="28"/>
          <w:szCs w:val="28"/>
        </w:rPr>
      </w:pPr>
    </w:p>
    <w:p w14:paraId="7BB3BD52" w14:textId="77777777" w:rsidR="0057005A" w:rsidRPr="002A34FB" w:rsidRDefault="0057005A"/>
    <w:sectPr w:rsidR="0057005A" w:rsidRPr="002A34FB" w:rsidSect="00056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6F64D" w14:textId="77777777" w:rsidR="005516AC" w:rsidRDefault="005516AC" w:rsidP="002A34FB">
      <w:r>
        <w:separator/>
      </w:r>
    </w:p>
  </w:endnote>
  <w:endnote w:type="continuationSeparator" w:id="0">
    <w:p w14:paraId="6F053B65" w14:textId="77777777" w:rsidR="005516AC" w:rsidRDefault="005516AC" w:rsidP="002A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0F264" w14:textId="77777777" w:rsidR="005516AC" w:rsidRDefault="005516AC" w:rsidP="002A34FB">
      <w:r>
        <w:separator/>
      </w:r>
    </w:p>
  </w:footnote>
  <w:footnote w:type="continuationSeparator" w:id="0">
    <w:p w14:paraId="2D2CFDF4" w14:textId="77777777" w:rsidR="005516AC" w:rsidRDefault="005516AC" w:rsidP="002A3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6050"/>
    <w:multiLevelType w:val="multilevel"/>
    <w:tmpl w:val="1AE1605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4FB"/>
    <w:rsid w:val="002A34FB"/>
    <w:rsid w:val="005516AC"/>
    <w:rsid w:val="0057005A"/>
    <w:rsid w:val="00A1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3D19C"/>
  <w15:docId w15:val="{0DAC79A2-CD00-414F-A34B-A8337804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3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A34F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A34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A34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124</Words>
  <Characters>711</Characters>
  <Application>Microsoft Office Word</Application>
  <DocSecurity>0</DocSecurity>
  <Lines>5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 Y</cp:lastModifiedBy>
  <cp:revision>3</cp:revision>
  <dcterms:created xsi:type="dcterms:W3CDTF">2021-12-14T03:48:00Z</dcterms:created>
  <dcterms:modified xsi:type="dcterms:W3CDTF">2021-12-15T05:39:00Z</dcterms:modified>
</cp:coreProperties>
</file>